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2F0B" w14:textId="4821C584" w:rsidR="005C0920" w:rsidRPr="005C0920" w:rsidRDefault="005C0920" w:rsidP="000D6C09">
      <w:pPr>
        <w:jc w:val="both"/>
        <w:rPr>
          <w:sz w:val="24"/>
          <w:szCs w:val="24"/>
        </w:rPr>
      </w:pPr>
      <w:r w:rsidRPr="005C0920">
        <w:rPr>
          <w:sz w:val="24"/>
          <w:szCs w:val="24"/>
        </w:rPr>
        <w:t>Liebe PatientInnen, liebe Angehörige.</w:t>
      </w:r>
    </w:p>
    <w:p w14:paraId="5CD18588" w14:textId="2832ECED" w:rsidR="005C0920" w:rsidRPr="005C0920" w:rsidRDefault="005C0920" w:rsidP="000D6C09">
      <w:pPr>
        <w:jc w:val="both"/>
        <w:rPr>
          <w:sz w:val="24"/>
          <w:szCs w:val="24"/>
        </w:rPr>
      </w:pPr>
      <w:r w:rsidRPr="005C0920">
        <w:rPr>
          <w:sz w:val="24"/>
          <w:szCs w:val="24"/>
        </w:rPr>
        <w:t>Sie finden hier einen Auszug aus der Arzneimittelrichtlinie, welcher die Verordnungsfähigkeit u.a. von Trinknahrung wie z.B. Fresubin zu Lasten der GKV regelt. Wir ÄrztInnen müssen hier bestimmte Regeln (s. Text) beachten – ansonsten droht uns eine Schadenersatzforderung der Krankenkasse.</w:t>
      </w:r>
    </w:p>
    <w:p w14:paraId="04ACE130" w14:textId="77777777" w:rsidR="005C0920" w:rsidRPr="005C0920" w:rsidRDefault="005C0920" w:rsidP="000D6C09">
      <w:pPr>
        <w:jc w:val="both"/>
        <w:rPr>
          <w:sz w:val="24"/>
          <w:szCs w:val="24"/>
        </w:rPr>
      </w:pPr>
    </w:p>
    <w:p w14:paraId="1BF148A7" w14:textId="1EA663B2" w:rsidR="000D6C09" w:rsidRPr="005C0920" w:rsidRDefault="005C0920" w:rsidP="000D6C09">
      <w:pPr>
        <w:jc w:val="both"/>
        <w:rPr>
          <w:i/>
          <w:iCs/>
          <w:color w:val="1F4E79" w:themeColor="accent5" w:themeShade="80"/>
          <w:sz w:val="24"/>
          <w:szCs w:val="24"/>
        </w:rPr>
      </w:pPr>
      <w:r w:rsidRPr="005C0920">
        <w:rPr>
          <w:i/>
          <w:iCs/>
          <w:color w:val="1F4E79" w:themeColor="accent5" w:themeShade="80"/>
          <w:sz w:val="24"/>
          <w:szCs w:val="24"/>
        </w:rPr>
        <w:t>„</w:t>
      </w:r>
      <w:r w:rsidR="000D6C09" w:rsidRPr="005C0920">
        <w:rPr>
          <w:i/>
          <w:iCs/>
          <w:color w:val="1F4E79" w:themeColor="accent5" w:themeShade="80"/>
          <w:sz w:val="24"/>
          <w:szCs w:val="24"/>
        </w:rPr>
        <w:t>E</w:t>
      </w:r>
      <w:r w:rsidR="000D6C09" w:rsidRPr="005C0920">
        <w:rPr>
          <w:i/>
          <w:iCs/>
          <w:color w:val="1F4E79" w:themeColor="accent5" w:themeShade="80"/>
          <w:sz w:val="24"/>
          <w:szCs w:val="24"/>
        </w:rPr>
        <w:t>nterale Ernährung</w:t>
      </w:r>
      <w:r w:rsidR="000D6C09" w:rsidRPr="005C0920">
        <w:rPr>
          <w:i/>
          <w:iCs/>
          <w:color w:val="1F4E79" w:themeColor="accent5" w:themeShade="80"/>
          <w:sz w:val="24"/>
          <w:szCs w:val="24"/>
        </w:rPr>
        <w:t xml:space="preserve"> (z.B. Trinknahrung)</w:t>
      </w:r>
      <w:r w:rsidR="000D6C09" w:rsidRPr="005C0920">
        <w:rPr>
          <w:i/>
          <w:iCs/>
          <w:color w:val="1F4E79" w:themeColor="accent5" w:themeShade="80"/>
          <w:sz w:val="24"/>
          <w:szCs w:val="24"/>
        </w:rPr>
        <w:t xml:space="preserve"> ist bei fehlender oder eingeschränkter Fähigkeit zur ausreichenden normalen Ernährung verordnungsfähig,</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wenn eine Modifizierung der normalen Ernährung oder sonstige</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ärztliche, pflegerische oder ernährungstherapeutische Maßnahmen</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zur Verbesserung der Ernährungssituation nicht ausreichen. Enterale Ernährung und sonstige Maßnahmen zur Verbesserung der</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Ernährungssituation schließen einander nicht aus, sondern sind</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erforderlichenfalls miteinander zu kombinieren.</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Die behandelnde Ärztin oder der behandelnde Arzt hat bei der Verordnung von enteraler Ernährung zu prüfen, ob insbesondere die</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nachfolgenden Maßnahmen zur Verbesserung der Ernährungssituation geeignet sind, eine ausreichende normale Ernährung</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auch ohne Einsatz von enteraler Ernährung zu gewährleisten, und</w:t>
      </w:r>
      <w:r w:rsidR="000D6C09" w:rsidRPr="005C0920">
        <w:rPr>
          <w:i/>
          <w:iCs/>
          <w:color w:val="1F4E79" w:themeColor="accent5" w:themeShade="80"/>
          <w:sz w:val="24"/>
          <w:szCs w:val="24"/>
        </w:rPr>
        <w:t xml:space="preserve"> </w:t>
      </w:r>
      <w:r w:rsidR="000D6C09" w:rsidRPr="005C0920">
        <w:rPr>
          <w:i/>
          <w:iCs/>
          <w:color w:val="1F4E79" w:themeColor="accent5" w:themeShade="80"/>
          <w:sz w:val="24"/>
          <w:szCs w:val="24"/>
        </w:rPr>
        <w:t>diese gegebenenfalls zu veranlassen:</w:t>
      </w:r>
    </w:p>
    <w:p w14:paraId="19290F8E" w14:textId="77777777" w:rsidR="000D6C09" w:rsidRPr="005C0920" w:rsidRDefault="000D6C09" w:rsidP="000D6C09">
      <w:pPr>
        <w:jc w:val="both"/>
        <w:rPr>
          <w:i/>
          <w:iCs/>
          <w:color w:val="1F4E79" w:themeColor="accent5" w:themeShade="80"/>
          <w:sz w:val="24"/>
          <w:szCs w:val="24"/>
        </w:rPr>
      </w:pPr>
    </w:p>
    <w:p w14:paraId="58B6BCD9" w14:textId="23BBCDDD"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Bei unzureichender Energiezufuhr ist eine kalorische Anreicherung der Nahrung mit Hilfe natürlicher Lebensmittel (z. B. Butter, Sahne, Vollmilch, Fruchtsäfte, Öle, Nahrungsmittel mit</w:t>
      </w:r>
      <w:r w:rsidRPr="005C0920">
        <w:rPr>
          <w:i/>
          <w:iCs/>
          <w:color w:val="1F4E79" w:themeColor="accent5" w:themeShade="80"/>
          <w:sz w:val="24"/>
          <w:szCs w:val="24"/>
        </w:rPr>
        <w:t xml:space="preserve"> </w:t>
      </w:r>
      <w:r w:rsidRPr="005C0920">
        <w:rPr>
          <w:i/>
          <w:iCs/>
          <w:color w:val="1F4E79" w:themeColor="accent5" w:themeShade="80"/>
          <w:sz w:val="24"/>
          <w:szCs w:val="24"/>
        </w:rPr>
        <w:t>hoher Energie- und Nährstoffdichte) sowie ein erweitertes Nahrungsangebot mit kalorien- und nährstoffreichen Zwischenmahlzeiten zu veranlassen.</w:t>
      </w:r>
    </w:p>
    <w:p w14:paraId="7577C5A4" w14:textId="370981C6"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Restriktive Diäten sind zu überprüfen.</w:t>
      </w:r>
    </w:p>
    <w:p w14:paraId="598A5D89" w14:textId="6CB3106F"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Bei Schluckstörungen ist auf eine geeignete Lagerung der Patientin oder des Patienten sowie eine angemessene Konsistenz der</w:t>
      </w:r>
      <w:r w:rsidRPr="005C0920">
        <w:rPr>
          <w:i/>
          <w:iCs/>
          <w:color w:val="1F4E79" w:themeColor="accent5" w:themeShade="80"/>
          <w:sz w:val="24"/>
          <w:szCs w:val="24"/>
        </w:rPr>
        <w:t xml:space="preserve"> </w:t>
      </w:r>
      <w:r w:rsidRPr="005C0920">
        <w:rPr>
          <w:i/>
          <w:iCs/>
          <w:color w:val="1F4E79" w:themeColor="accent5" w:themeShade="80"/>
          <w:sz w:val="24"/>
          <w:szCs w:val="24"/>
        </w:rPr>
        <w:t>Nahrung zu achten und die Verordnung von Heilmitteln (Anbahnung und Förderung des Schluckvorgangs als Teil der</w:t>
      </w:r>
      <w:r w:rsidRPr="005C0920">
        <w:rPr>
          <w:i/>
          <w:iCs/>
          <w:color w:val="1F4E79" w:themeColor="accent5" w:themeShade="80"/>
          <w:sz w:val="24"/>
          <w:szCs w:val="24"/>
        </w:rPr>
        <w:t xml:space="preserve"> </w:t>
      </w:r>
      <w:r w:rsidRPr="005C0920">
        <w:rPr>
          <w:i/>
          <w:iCs/>
          <w:color w:val="1F4E79" w:themeColor="accent5" w:themeShade="80"/>
          <w:sz w:val="24"/>
          <w:szCs w:val="24"/>
        </w:rPr>
        <w:t>Stimm-, Sprech- und Sprachbehandlung [Logopädie] oder sensomotorisch-perzeptive Behandlung zur Verbesserung der</w:t>
      </w:r>
      <w:r w:rsidRPr="005C0920">
        <w:rPr>
          <w:i/>
          <w:iCs/>
          <w:color w:val="1F4E79" w:themeColor="accent5" w:themeShade="80"/>
          <w:sz w:val="24"/>
          <w:szCs w:val="24"/>
        </w:rPr>
        <w:t xml:space="preserve"> </w:t>
      </w:r>
      <w:r w:rsidRPr="005C0920">
        <w:rPr>
          <w:i/>
          <w:iCs/>
          <w:color w:val="1F4E79" w:themeColor="accent5" w:themeShade="80"/>
          <w:sz w:val="24"/>
          <w:szCs w:val="24"/>
        </w:rPr>
        <w:t>Mund- und Essmotorik als Teil der Ergotherapie) zu prüfen.</w:t>
      </w:r>
    </w:p>
    <w:p w14:paraId="439FC488" w14:textId="4E180A65"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Verordnete Medikamente sind unter dem Gesichtspunkt negativer Effekte auf den Appetit und den Ernährungszustand kritisch</w:t>
      </w:r>
      <w:r w:rsidRPr="005C0920">
        <w:rPr>
          <w:i/>
          <w:iCs/>
          <w:color w:val="1F4E79" w:themeColor="accent5" w:themeShade="80"/>
          <w:sz w:val="24"/>
          <w:szCs w:val="24"/>
        </w:rPr>
        <w:t xml:space="preserve"> </w:t>
      </w:r>
      <w:r w:rsidRPr="005C0920">
        <w:rPr>
          <w:i/>
          <w:iCs/>
          <w:color w:val="1F4E79" w:themeColor="accent5" w:themeShade="80"/>
          <w:sz w:val="24"/>
          <w:szCs w:val="24"/>
        </w:rPr>
        <w:t>zu überprüfen.</w:t>
      </w:r>
    </w:p>
    <w:p w14:paraId="2B57C959" w14:textId="33CD69A5"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Es sind geeignete pflegerische Maßnahmen zur Sicherung einer</w:t>
      </w:r>
      <w:r w:rsidRPr="005C0920">
        <w:rPr>
          <w:i/>
          <w:iCs/>
          <w:color w:val="1F4E79" w:themeColor="accent5" w:themeShade="80"/>
          <w:sz w:val="24"/>
          <w:szCs w:val="24"/>
        </w:rPr>
        <w:t xml:space="preserve"> </w:t>
      </w:r>
      <w:r w:rsidRPr="005C0920">
        <w:rPr>
          <w:i/>
          <w:iCs/>
          <w:color w:val="1F4E79" w:themeColor="accent5" w:themeShade="80"/>
          <w:sz w:val="24"/>
          <w:szCs w:val="24"/>
        </w:rPr>
        <w:t>ausreichenden Trinkmenge zu veranlassen.</w:t>
      </w:r>
    </w:p>
    <w:p w14:paraId="4563C2AD" w14:textId="4266DB59"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Kaustörungen sind durch Mundpflege, Mundhygiene, notwendige Zahnbehandlungen oder -sanierungen und — soweit erforderlich — funktionsfähige Zahnprothesen zu beheben.</w:t>
      </w:r>
    </w:p>
    <w:p w14:paraId="7FB28BF9" w14:textId="1CBF1B18"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Motorische Probleme beim Zerkleinern der Nahrung sind,</w:t>
      </w:r>
      <w:r w:rsidRPr="005C0920">
        <w:rPr>
          <w:i/>
          <w:iCs/>
          <w:color w:val="1F4E79" w:themeColor="accent5" w:themeShade="80"/>
          <w:sz w:val="24"/>
          <w:szCs w:val="24"/>
        </w:rPr>
        <w:t xml:space="preserve"> </w:t>
      </w:r>
      <w:r w:rsidRPr="005C0920">
        <w:rPr>
          <w:i/>
          <w:iCs/>
          <w:color w:val="1F4E79" w:themeColor="accent5" w:themeShade="80"/>
          <w:sz w:val="24"/>
          <w:szCs w:val="24"/>
        </w:rPr>
        <w:t>soweit erforderlich, durch die Verordnung von ergotherapeutischem Esstraining und entsprechende Versorgung mit geeignetem Besteck zu beheben.</w:t>
      </w:r>
    </w:p>
    <w:p w14:paraId="15ECAADD" w14:textId="7F164B70"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Bei Beeinträchtigungen der geistigen und psychischen Gesundheit stehen insbesondere die Zuwendung beim Essen mit Aufforderung zum Essen sowie geduldiges Anreichen der Nahrung</w:t>
      </w:r>
    </w:p>
    <w:p w14:paraId="336396D6" w14:textId="77777777"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lastRenderedPageBreak/>
        <w:t>im Mittelpunkt.</w:t>
      </w:r>
    </w:p>
    <w:p w14:paraId="17814EBA" w14:textId="5C284B56" w:rsidR="000D6C09"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Soziale Maßnahmen können erste Priorität haben, hierzu gehört</w:t>
      </w:r>
      <w:r w:rsidRPr="005C0920">
        <w:rPr>
          <w:i/>
          <w:iCs/>
          <w:color w:val="1F4E79" w:themeColor="accent5" w:themeShade="80"/>
          <w:sz w:val="24"/>
          <w:szCs w:val="24"/>
        </w:rPr>
        <w:t xml:space="preserve"> </w:t>
      </w:r>
      <w:r w:rsidRPr="005C0920">
        <w:rPr>
          <w:i/>
          <w:iCs/>
          <w:color w:val="1F4E79" w:themeColor="accent5" w:themeShade="80"/>
          <w:sz w:val="24"/>
          <w:szCs w:val="24"/>
        </w:rPr>
        <w:t>die Beratung der Angehörigen, das Organisieren von Besuchsdiensten, Unterstützung beim Einkauf und, soweit erforderlich,</w:t>
      </w:r>
    </w:p>
    <w:p w14:paraId="60D3B37B" w14:textId="1553360C" w:rsidR="00AE2783" w:rsidRPr="005C0920" w:rsidRDefault="000D6C09" w:rsidP="000D6C09">
      <w:pPr>
        <w:pStyle w:val="Listenabsatz"/>
        <w:numPr>
          <w:ilvl w:val="0"/>
          <w:numId w:val="3"/>
        </w:numPr>
        <w:jc w:val="both"/>
        <w:rPr>
          <w:i/>
          <w:iCs/>
          <w:color w:val="1F4E79" w:themeColor="accent5" w:themeShade="80"/>
          <w:sz w:val="24"/>
          <w:szCs w:val="24"/>
        </w:rPr>
      </w:pPr>
      <w:r w:rsidRPr="005C0920">
        <w:rPr>
          <w:i/>
          <w:iCs/>
          <w:color w:val="1F4E79" w:themeColor="accent5" w:themeShade="80"/>
          <w:sz w:val="24"/>
          <w:szCs w:val="24"/>
        </w:rPr>
        <w:t>die Lieferung von vorbereiteten Produkten.</w:t>
      </w:r>
      <w:r w:rsidR="005C0920" w:rsidRPr="005C0920">
        <w:rPr>
          <w:i/>
          <w:iCs/>
          <w:color w:val="1F4E79" w:themeColor="accent5" w:themeShade="80"/>
          <w:sz w:val="24"/>
          <w:szCs w:val="24"/>
        </w:rPr>
        <w:t>“</w:t>
      </w:r>
    </w:p>
    <w:p w14:paraId="49EAF9C1" w14:textId="18E62526" w:rsidR="002F75E0" w:rsidRPr="005C0920" w:rsidRDefault="002F75E0" w:rsidP="002F75E0">
      <w:pPr>
        <w:jc w:val="both"/>
        <w:rPr>
          <w:sz w:val="24"/>
          <w:szCs w:val="24"/>
        </w:rPr>
      </w:pPr>
    </w:p>
    <w:sectPr w:rsidR="002F75E0" w:rsidRPr="005C09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F2233"/>
    <w:multiLevelType w:val="hybridMultilevel"/>
    <w:tmpl w:val="8452C5E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598F7CBB"/>
    <w:multiLevelType w:val="hybridMultilevel"/>
    <w:tmpl w:val="BC1AC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561A7"/>
    <w:multiLevelType w:val="hybridMultilevel"/>
    <w:tmpl w:val="8640CF78"/>
    <w:lvl w:ilvl="0" w:tplc="F656ECB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10972">
    <w:abstractNumId w:val="1"/>
  </w:num>
  <w:num w:numId="2" w16cid:durableId="1489250125">
    <w:abstractNumId w:val="2"/>
  </w:num>
  <w:num w:numId="3" w16cid:durableId="22414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09"/>
    <w:rsid w:val="000D6C09"/>
    <w:rsid w:val="002F75E0"/>
    <w:rsid w:val="005031DE"/>
    <w:rsid w:val="005C0920"/>
    <w:rsid w:val="0071396C"/>
    <w:rsid w:val="00AE2783"/>
    <w:rsid w:val="00DF2D07"/>
    <w:rsid w:val="00FA7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61FB"/>
  <w15:chartTrackingRefBased/>
  <w15:docId w15:val="{C455F06D-9BC2-4B6F-B886-85C50AF3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6C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0D6C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0D6C09"/>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0D6C09"/>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D6C09"/>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0D6C0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6C0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D6C0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6C0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C09"/>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0D6C09"/>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0D6C09"/>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0D6C09"/>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D6C09"/>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0D6C0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6C0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D6C0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6C09"/>
    <w:rPr>
      <w:rFonts w:eastAsiaTheme="majorEastAsia" w:cstheme="majorBidi"/>
      <w:color w:val="272727" w:themeColor="text1" w:themeTint="D8"/>
    </w:rPr>
  </w:style>
  <w:style w:type="paragraph" w:styleId="Titel">
    <w:name w:val="Title"/>
    <w:basedOn w:val="Standard"/>
    <w:next w:val="Standard"/>
    <w:link w:val="TitelZchn"/>
    <w:uiPriority w:val="10"/>
    <w:qFormat/>
    <w:rsid w:val="000D6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6C0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6C0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6C0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D6C0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D6C09"/>
    <w:rPr>
      <w:i/>
      <w:iCs/>
      <w:color w:val="404040" w:themeColor="text1" w:themeTint="BF"/>
    </w:rPr>
  </w:style>
  <w:style w:type="paragraph" w:styleId="Listenabsatz">
    <w:name w:val="List Paragraph"/>
    <w:basedOn w:val="Standard"/>
    <w:uiPriority w:val="34"/>
    <w:qFormat/>
    <w:rsid w:val="000D6C09"/>
    <w:pPr>
      <w:ind w:left="720"/>
      <w:contextualSpacing/>
    </w:pPr>
  </w:style>
  <w:style w:type="character" w:styleId="IntensiveHervorhebung">
    <w:name w:val="Intense Emphasis"/>
    <w:basedOn w:val="Absatz-Standardschriftart"/>
    <w:uiPriority w:val="21"/>
    <w:qFormat/>
    <w:rsid w:val="000D6C09"/>
    <w:rPr>
      <w:i/>
      <w:iCs/>
      <w:color w:val="2F5496" w:themeColor="accent1" w:themeShade="BF"/>
    </w:rPr>
  </w:style>
  <w:style w:type="paragraph" w:styleId="IntensivesZitat">
    <w:name w:val="Intense Quote"/>
    <w:basedOn w:val="Standard"/>
    <w:next w:val="Standard"/>
    <w:link w:val="IntensivesZitatZchn"/>
    <w:uiPriority w:val="30"/>
    <w:qFormat/>
    <w:rsid w:val="000D6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0D6C09"/>
    <w:rPr>
      <w:i/>
      <w:iCs/>
      <w:color w:val="2F5496" w:themeColor="accent1" w:themeShade="BF"/>
    </w:rPr>
  </w:style>
  <w:style w:type="character" w:styleId="IntensiverVerweis">
    <w:name w:val="Intense Reference"/>
    <w:basedOn w:val="Absatz-Standardschriftart"/>
    <w:uiPriority w:val="32"/>
    <w:qFormat/>
    <w:rsid w:val="000D6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2634</Characters>
  <Application>Microsoft Office Word</Application>
  <DocSecurity>0</DocSecurity>
  <Lines>82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Lendholt</dc:creator>
  <cp:keywords/>
  <dc:description/>
  <cp:lastModifiedBy>Katharina Lendholt</cp:lastModifiedBy>
  <cp:revision>1</cp:revision>
  <dcterms:created xsi:type="dcterms:W3CDTF">2025-06-29T07:51:00Z</dcterms:created>
  <dcterms:modified xsi:type="dcterms:W3CDTF">2025-06-29T09:57:00Z</dcterms:modified>
</cp:coreProperties>
</file>